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92D5D" w14:textId="5214D9A3" w:rsidR="00446EEA" w:rsidRPr="00446EEA" w:rsidRDefault="00446EEA" w:rsidP="00446EEA">
      <w:pPr>
        <w:jc w:val="both"/>
        <w:rPr>
          <w:rFonts w:asciiTheme="majorHAnsi" w:hAnsiTheme="majorHAnsi" w:cs="Arial"/>
        </w:rPr>
      </w:pPr>
      <w:r w:rsidRPr="00446EEA">
        <w:rPr>
          <w:rFonts w:asciiTheme="majorHAnsi" w:hAnsiTheme="majorHAnsi" w:cs="Arial"/>
        </w:rPr>
        <w:t xml:space="preserve">1. </w:t>
      </w:r>
      <w:r w:rsidRPr="00446EEA">
        <w:rPr>
          <w:rFonts w:asciiTheme="majorHAnsi" w:hAnsiTheme="majorHAnsi" w:cs="Arial"/>
        </w:rPr>
        <w:t>Acțiunea penală și acțiunea civilă în procesul penal; 2. Probele, mijloacele de probă și procedeele probatorii; 3. Măsurile preventive și alte măsuri procesuale; 4. Urmărirea penală; 5. Camera preliminară; 6. Judecata în primă instanță; 7. Căile ordinare de atac: apelul, contestația; 8. Căile extraordinare de atac: contestația în anulare, recursul în casație, revizuirea, redeschiderea procesului penal în cazul judecării în lipsa persoanei condamnate; 9. Proceduri speciale: acordul de recunoaștere a vinovăției procedura în cauzele cu infractori minori, procedura reabilitării.</w:t>
      </w:r>
    </w:p>
    <w:p w14:paraId="64C4A5CB" w14:textId="77777777" w:rsidR="006F4DA1" w:rsidRDefault="006F4DA1"/>
    <w:sectPr w:rsidR="006F4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0F"/>
    <w:rsid w:val="00184E0F"/>
    <w:rsid w:val="00446EEA"/>
    <w:rsid w:val="006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7B056"/>
  <w15:chartTrackingRefBased/>
  <w15:docId w15:val="{F58FE00E-2EF9-4133-BED2-C74B6E2B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EEA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E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E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E0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E0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E0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E0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E0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E0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E0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E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E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E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E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E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E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84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E0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84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E0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84E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E0F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4E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E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E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2024-12-17T10:16:00Z</dcterms:created>
  <dcterms:modified xsi:type="dcterms:W3CDTF">2024-12-17T10:17:00Z</dcterms:modified>
</cp:coreProperties>
</file>