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6E52" w14:textId="2265183A" w:rsidR="005C512A" w:rsidRPr="005C512A" w:rsidRDefault="005C512A" w:rsidP="005C512A">
      <w:pPr>
        <w:jc w:val="both"/>
        <w:rPr>
          <w:rFonts w:asciiTheme="majorHAnsi" w:hAnsiTheme="majorHAnsi" w:cs="Arial"/>
        </w:rPr>
      </w:pPr>
      <w:r w:rsidRPr="005C512A">
        <w:rPr>
          <w:rFonts w:asciiTheme="majorHAnsi" w:hAnsiTheme="majorHAnsi" w:cs="Arial"/>
        </w:rPr>
        <w:t>I. Legea penală şi limitele ei de aplicare: 1. Principii generale;</w:t>
      </w:r>
      <w:r w:rsidRPr="005C512A">
        <w:rPr>
          <w:rFonts w:asciiTheme="majorHAnsi" w:hAnsiTheme="majorHAnsi" w:cs="Arial"/>
        </w:rPr>
        <w:t xml:space="preserve"> </w:t>
      </w:r>
      <w:r w:rsidRPr="005C512A">
        <w:rPr>
          <w:rFonts w:asciiTheme="majorHAnsi" w:hAnsiTheme="majorHAnsi" w:cs="Arial"/>
        </w:rPr>
        <w:t>2.</w:t>
      </w:r>
      <w:r w:rsidRPr="005C512A">
        <w:rPr>
          <w:rFonts w:asciiTheme="majorHAnsi" w:hAnsiTheme="majorHAnsi" w:cs="Arial"/>
        </w:rPr>
        <w:t xml:space="preserve"> </w:t>
      </w:r>
      <w:r w:rsidRPr="005C512A">
        <w:rPr>
          <w:rFonts w:asciiTheme="majorHAnsi" w:hAnsiTheme="majorHAnsi" w:cs="Arial"/>
        </w:rPr>
        <w:t>Aplicarea legii penale în timp; 3</w:t>
      </w:r>
      <w:r w:rsidRPr="005C512A">
        <w:rPr>
          <w:rFonts w:asciiTheme="majorHAnsi" w:hAnsiTheme="majorHAnsi" w:cs="Arial"/>
        </w:rPr>
        <w:t xml:space="preserve">. </w:t>
      </w:r>
      <w:r w:rsidRPr="005C512A">
        <w:rPr>
          <w:rFonts w:asciiTheme="majorHAnsi" w:hAnsiTheme="majorHAnsi" w:cs="Arial"/>
        </w:rPr>
        <w:t>Aplicarea legii penale în spațiu</w:t>
      </w:r>
    </w:p>
    <w:p w14:paraId="64DA204B" w14:textId="4F9A776C" w:rsidR="005C512A" w:rsidRPr="005C512A" w:rsidRDefault="005C512A" w:rsidP="005C512A">
      <w:pPr>
        <w:jc w:val="both"/>
        <w:rPr>
          <w:rFonts w:asciiTheme="majorHAnsi" w:hAnsiTheme="majorHAnsi" w:cs="Arial"/>
        </w:rPr>
      </w:pPr>
      <w:r w:rsidRPr="005C512A">
        <w:rPr>
          <w:rFonts w:asciiTheme="majorHAnsi" w:hAnsiTheme="majorHAnsi" w:cs="Arial"/>
        </w:rPr>
        <w:t>II. Infracțiunea: 1. Dispoziții generale; 2. Cauzele justificative;</w:t>
      </w:r>
      <w:r w:rsidRPr="005C512A">
        <w:rPr>
          <w:rFonts w:asciiTheme="majorHAnsi" w:hAnsiTheme="majorHAnsi" w:cs="Arial"/>
        </w:rPr>
        <w:t xml:space="preserve"> </w:t>
      </w:r>
      <w:r w:rsidRPr="005C512A">
        <w:rPr>
          <w:rFonts w:asciiTheme="majorHAnsi" w:hAnsiTheme="majorHAnsi" w:cs="Arial"/>
        </w:rPr>
        <w:t>3.</w:t>
      </w:r>
      <w:r w:rsidRPr="005C512A">
        <w:rPr>
          <w:rFonts w:asciiTheme="majorHAnsi" w:hAnsiTheme="majorHAnsi" w:cs="Arial"/>
        </w:rPr>
        <w:t xml:space="preserve"> </w:t>
      </w:r>
      <w:r w:rsidRPr="005C512A">
        <w:rPr>
          <w:rFonts w:asciiTheme="majorHAnsi" w:hAnsiTheme="majorHAnsi" w:cs="Arial"/>
        </w:rPr>
        <w:t>Cauzele de neimputabilitate; 4. Tentativa; 5. Unitatea şi pluralitatea de infracțiuni; 6. Autorul şi participanții</w:t>
      </w:r>
    </w:p>
    <w:p w14:paraId="1F15DBA7" w14:textId="77777777" w:rsidR="005C512A" w:rsidRPr="005C512A" w:rsidRDefault="005C512A" w:rsidP="005C512A">
      <w:pPr>
        <w:rPr>
          <w:rFonts w:asciiTheme="majorHAnsi" w:hAnsiTheme="majorHAnsi" w:cs="Arial"/>
        </w:rPr>
      </w:pPr>
      <w:r w:rsidRPr="005C512A">
        <w:rPr>
          <w:rFonts w:asciiTheme="majorHAnsi" w:hAnsiTheme="majorHAnsi" w:cs="Arial"/>
        </w:rPr>
        <w:t>I. Pedepsele: 1. Categoriile pedepselor; 2. Pedepsele principale; 3. Pedeapsa accesorie şi pedepsele complementare; 4. Calculul duratei pedepselor; 5. Individualizarea pedepselor: a) dispoziții generale, b) circumstanțele atenuante şi circumstanțele agravante, c) suspendarea executării pedepsei sub supraveghere, d) liberarea condiționată</w:t>
      </w:r>
    </w:p>
    <w:p w14:paraId="2498598E" w14:textId="7A24FD8F" w:rsidR="005C512A" w:rsidRPr="005C512A" w:rsidRDefault="005C512A" w:rsidP="005C512A">
      <w:pPr>
        <w:rPr>
          <w:rFonts w:asciiTheme="majorHAnsi" w:hAnsiTheme="majorHAnsi" w:cs="Arial"/>
        </w:rPr>
      </w:pPr>
      <w:r w:rsidRPr="005C512A">
        <w:rPr>
          <w:rFonts w:asciiTheme="majorHAnsi" w:hAnsiTheme="majorHAnsi" w:cs="Arial"/>
        </w:rPr>
        <w:t>II. Măsurile de siguranță: 1</w:t>
      </w:r>
      <w:r>
        <w:rPr>
          <w:rFonts w:asciiTheme="majorHAnsi" w:hAnsiTheme="majorHAnsi" w:cs="Arial"/>
        </w:rPr>
        <w:t xml:space="preserve">. </w:t>
      </w:r>
      <w:r w:rsidRPr="005C512A">
        <w:rPr>
          <w:rFonts w:asciiTheme="majorHAnsi" w:hAnsiTheme="majorHAnsi" w:cs="Arial"/>
        </w:rPr>
        <w:t>Dispoziții generale (art. 107,108); 2. Confiscarea specială (art. 112)</w:t>
      </w:r>
    </w:p>
    <w:p w14:paraId="03B065CB" w14:textId="77777777" w:rsidR="005C512A" w:rsidRPr="005C512A" w:rsidRDefault="005C512A" w:rsidP="005C512A">
      <w:pPr>
        <w:rPr>
          <w:rFonts w:asciiTheme="majorHAnsi" w:hAnsiTheme="majorHAnsi" w:cs="Arial"/>
        </w:rPr>
      </w:pPr>
      <w:r w:rsidRPr="005C512A">
        <w:rPr>
          <w:rFonts w:asciiTheme="majorHAnsi" w:hAnsiTheme="majorHAnsi" w:cs="Arial"/>
        </w:rPr>
        <w:t>III. Minoritatea; IV. Răspunderea penală a persoanei juridice – dispoziții generale (art. 135 – 137), nu şi celelalte dispoziții din titlul VI); V. Cauzele care înlătură răspunderea penală; VI. Cauzele care înlătură sau modifică executarea pedepsei; VII.  Cauzele care înlătură consecințele condamnării.</w:t>
      </w:r>
    </w:p>
    <w:p w14:paraId="213DE1FB" w14:textId="77777777" w:rsidR="005C512A" w:rsidRPr="005C512A" w:rsidRDefault="005C512A" w:rsidP="005C512A">
      <w:pPr>
        <w:jc w:val="both"/>
        <w:rPr>
          <w:rFonts w:asciiTheme="majorHAnsi" w:hAnsiTheme="majorHAnsi" w:cs="Arial"/>
        </w:rPr>
      </w:pPr>
      <w:r w:rsidRPr="005C512A">
        <w:rPr>
          <w:rFonts w:asciiTheme="majorHAnsi" w:hAnsiTheme="majorHAnsi" w:cs="Arial"/>
        </w:rPr>
        <w:t>I. Principii de cooperare; II. Mandatul european de arestare; III. Transferul de proceduri în materie penală; IV. Asistența judiciară internațională în materie penală; V. Recunoașterea actelor judiciară penale în raporturile cu statele membre ale Uniunii Europene.</w:t>
      </w:r>
    </w:p>
    <w:p w14:paraId="11BD4BE9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62"/>
    <w:rsid w:val="00153262"/>
    <w:rsid w:val="005C512A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14C5"/>
  <w15:chartTrackingRefBased/>
  <w15:docId w15:val="{A1BFC14E-FA6C-41DF-B5FD-25C0BEC0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2A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2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2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2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2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2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2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2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2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2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2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3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2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3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262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3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2024-12-17T10:19:00Z</dcterms:created>
  <dcterms:modified xsi:type="dcterms:W3CDTF">2024-12-17T10:21:00Z</dcterms:modified>
</cp:coreProperties>
</file>